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45176DBE">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7"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7" tooltip="&quot;Home&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D3F9270" w:rsidR="003828E0" w:rsidRPr="003828E0" w:rsidRDefault="00B816C6" w:rsidP="003828E0">
      <w:pPr>
        <w:shd w:val="clear" w:color="auto" w:fill="C00000"/>
        <w:spacing w:after="0"/>
        <w:rPr>
          <w:b/>
          <w:sz w:val="36"/>
          <w:szCs w:val="36"/>
        </w:rPr>
      </w:pPr>
      <w:r>
        <w:rPr>
          <w:b/>
          <w:sz w:val="36"/>
          <w:szCs w:val="36"/>
        </w:rPr>
        <w:t>Annual Report – June 202</w:t>
      </w:r>
      <w:r w:rsidR="00F93AF6">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09580AD7" w:rsidR="009477EC" w:rsidRDefault="00D74314">
            <w:r>
              <w:t>Michael Wallace Elementary</w:t>
            </w:r>
          </w:p>
          <w:p w14:paraId="63F02B39" w14:textId="77777777" w:rsidR="009477EC" w:rsidRDefault="009477EC"/>
        </w:tc>
      </w:tr>
    </w:tbl>
    <w:p w14:paraId="7C96D1F1" w14:textId="77777777" w:rsidR="009477EC" w:rsidRDefault="009477EC"/>
    <w:p w14:paraId="4100F2ED" w14:textId="77777777" w:rsidR="009477EC" w:rsidRDefault="009477EC"/>
    <w:tbl>
      <w:tblPr>
        <w:tblStyle w:val="TableGrid"/>
        <w:tblW w:w="0" w:type="auto"/>
        <w:tblLook w:val="04A0" w:firstRow="1" w:lastRow="0" w:firstColumn="1" w:lastColumn="0" w:noHBand="0" w:noVBand="1"/>
      </w:tblPr>
      <w:tblGrid>
        <w:gridCol w:w="2337"/>
        <w:gridCol w:w="2338"/>
        <w:gridCol w:w="2337"/>
        <w:gridCol w:w="2338"/>
      </w:tblGrid>
      <w:tr w:rsidR="003828E0" w:rsidRPr="003828E0" w14:paraId="7420D20C" w14:textId="77777777" w:rsidTr="003828E0">
        <w:tc>
          <w:tcPr>
            <w:tcW w:w="9350" w:type="dxa"/>
            <w:gridSpan w:val="4"/>
            <w:shd w:val="clear" w:color="auto" w:fill="DEEAF6" w:themeFill="accent1" w:themeFillTint="33"/>
          </w:tcPr>
          <w:p w14:paraId="5C7448FC" w14:textId="57E93FE0" w:rsidR="003828E0" w:rsidRPr="003828E0" w:rsidRDefault="00287EE2" w:rsidP="003828E0">
            <w:pPr>
              <w:jc w:val="both"/>
              <w:rPr>
                <w:sz w:val="24"/>
                <w:szCs w:val="24"/>
              </w:rPr>
            </w:pPr>
            <w:r>
              <w:rPr>
                <w:sz w:val="24"/>
                <w:szCs w:val="24"/>
              </w:rPr>
              <w:t>SAC Chair:</w:t>
            </w:r>
            <w:r w:rsidR="00D74314">
              <w:rPr>
                <w:sz w:val="24"/>
                <w:szCs w:val="24"/>
              </w:rPr>
              <w:t xml:space="preserve"> Issmat </w:t>
            </w:r>
            <w:proofErr w:type="spellStart"/>
            <w:r w:rsidR="00D74314">
              <w:rPr>
                <w:sz w:val="24"/>
                <w:szCs w:val="24"/>
              </w:rPr>
              <w:t>Alakhali</w:t>
            </w:r>
            <w:proofErr w:type="spellEnd"/>
          </w:p>
        </w:tc>
      </w:tr>
      <w:tr w:rsidR="00287EE2" w:rsidRPr="003828E0" w14:paraId="0BBFE10D" w14:textId="77777777" w:rsidTr="00D841A8">
        <w:tc>
          <w:tcPr>
            <w:tcW w:w="2337" w:type="dxa"/>
          </w:tcPr>
          <w:p w14:paraId="0A853DAB" w14:textId="2E4F8124" w:rsidR="00287EE2" w:rsidRDefault="00287EE2" w:rsidP="00287EE2">
            <w:pPr>
              <w:rPr>
                <w:sz w:val="24"/>
                <w:szCs w:val="24"/>
              </w:rPr>
            </w:pPr>
            <w:r>
              <w:rPr>
                <w:sz w:val="24"/>
                <w:szCs w:val="24"/>
              </w:rPr>
              <w:t>SAC Parent members:</w:t>
            </w:r>
          </w:p>
          <w:p w14:paraId="3F5CC3C5" w14:textId="77777777" w:rsidR="00D74314" w:rsidRDefault="00D74314" w:rsidP="00287EE2">
            <w:pPr>
              <w:rPr>
                <w:sz w:val="24"/>
                <w:szCs w:val="24"/>
              </w:rPr>
            </w:pPr>
          </w:p>
          <w:p w14:paraId="0FBA1128" w14:textId="29709A5D" w:rsidR="00D74314" w:rsidRPr="00D74314" w:rsidRDefault="00D74314" w:rsidP="00D74314">
            <w:pPr>
              <w:rPr>
                <w:sz w:val="24"/>
                <w:szCs w:val="24"/>
              </w:rPr>
            </w:pPr>
            <w:r w:rsidRPr="00D74314">
              <w:rPr>
                <w:sz w:val="24"/>
                <w:szCs w:val="24"/>
              </w:rPr>
              <w:t xml:space="preserve">Ally MacQueen, </w:t>
            </w:r>
          </w:p>
          <w:p w14:paraId="7030F63B" w14:textId="5201101F" w:rsidR="00D74314" w:rsidRPr="00D74314" w:rsidRDefault="00D74314" w:rsidP="00D74314">
            <w:pPr>
              <w:rPr>
                <w:sz w:val="24"/>
                <w:szCs w:val="24"/>
              </w:rPr>
            </w:pPr>
            <w:r w:rsidRPr="00D74314">
              <w:rPr>
                <w:sz w:val="24"/>
                <w:szCs w:val="24"/>
              </w:rPr>
              <w:t>Kenzie Conrad</w:t>
            </w:r>
          </w:p>
          <w:p w14:paraId="2163394F" w14:textId="75357E88" w:rsidR="00D74314" w:rsidRPr="00D74314" w:rsidRDefault="00D74314" w:rsidP="00D74314">
            <w:pPr>
              <w:rPr>
                <w:sz w:val="24"/>
                <w:szCs w:val="24"/>
              </w:rPr>
            </w:pPr>
            <w:r w:rsidRPr="00D74314">
              <w:rPr>
                <w:sz w:val="24"/>
                <w:szCs w:val="24"/>
              </w:rPr>
              <w:t>Lucian Jurko</w:t>
            </w:r>
          </w:p>
          <w:p w14:paraId="4F3DE644" w14:textId="77777777" w:rsidR="00287EE2" w:rsidRDefault="00287EE2" w:rsidP="00287EE2">
            <w:pPr>
              <w:rPr>
                <w:sz w:val="24"/>
                <w:szCs w:val="24"/>
              </w:rPr>
            </w:pPr>
          </w:p>
          <w:p w14:paraId="63EACC94" w14:textId="77777777" w:rsidR="00287EE2" w:rsidRDefault="00287EE2" w:rsidP="00287EE2">
            <w:pPr>
              <w:rPr>
                <w:sz w:val="24"/>
                <w:szCs w:val="24"/>
              </w:rPr>
            </w:pPr>
          </w:p>
          <w:p w14:paraId="1A18A22C" w14:textId="77777777" w:rsidR="00287EE2" w:rsidRDefault="00287EE2" w:rsidP="00287EE2">
            <w:pPr>
              <w:rPr>
                <w:sz w:val="24"/>
                <w:szCs w:val="24"/>
              </w:rPr>
            </w:pPr>
          </w:p>
          <w:p w14:paraId="58BB36F8" w14:textId="77777777" w:rsidR="00287EE2" w:rsidRDefault="00287EE2" w:rsidP="00287EE2">
            <w:pPr>
              <w:rPr>
                <w:sz w:val="24"/>
                <w:szCs w:val="24"/>
              </w:rPr>
            </w:pPr>
          </w:p>
          <w:p w14:paraId="0BA8B66F" w14:textId="48807828" w:rsidR="00287EE2" w:rsidRDefault="00287EE2" w:rsidP="00287EE2">
            <w:pPr>
              <w:rPr>
                <w:sz w:val="24"/>
                <w:szCs w:val="24"/>
              </w:rPr>
            </w:pPr>
          </w:p>
        </w:tc>
        <w:tc>
          <w:tcPr>
            <w:tcW w:w="2338" w:type="dxa"/>
          </w:tcPr>
          <w:p w14:paraId="1956E735" w14:textId="77777777" w:rsidR="00287EE2" w:rsidRDefault="00287EE2" w:rsidP="00287EE2">
            <w:pPr>
              <w:rPr>
                <w:sz w:val="24"/>
                <w:szCs w:val="24"/>
              </w:rPr>
            </w:pPr>
            <w:r>
              <w:rPr>
                <w:sz w:val="24"/>
                <w:szCs w:val="24"/>
              </w:rPr>
              <w:t>SAC Community Members:</w:t>
            </w:r>
          </w:p>
          <w:p w14:paraId="6F23DAB3" w14:textId="77777777" w:rsidR="00D74314" w:rsidRDefault="00D74314" w:rsidP="00287EE2">
            <w:pPr>
              <w:rPr>
                <w:sz w:val="24"/>
                <w:szCs w:val="24"/>
              </w:rPr>
            </w:pPr>
          </w:p>
          <w:p w14:paraId="1A61C53E" w14:textId="77777777" w:rsidR="00D74314" w:rsidRDefault="00D74314" w:rsidP="00287EE2">
            <w:pPr>
              <w:rPr>
                <w:sz w:val="24"/>
                <w:szCs w:val="24"/>
              </w:rPr>
            </w:pPr>
            <w:r>
              <w:rPr>
                <w:sz w:val="24"/>
                <w:szCs w:val="24"/>
              </w:rPr>
              <w:t>Reid Trider</w:t>
            </w:r>
          </w:p>
          <w:p w14:paraId="01FAC01C" w14:textId="25B8711F" w:rsidR="00D74314" w:rsidRDefault="00D74314" w:rsidP="00287EE2">
            <w:pPr>
              <w:rPr>
                <w:sz w:val="24"/>
                <w:szCs w:val="24"/>
              </w:rPr>
            </w:pPr>
            <w:r>
              <w:rPr>
                <w:sz w:val="24"/>
                <w:szCs w:val="24"/>
              </w:rPr>
              <w:t>Ross Drake</w:t>
            </w:r>
          </w:p>
        </w:tc>
        <w:tc>
          <w:tcPr>
            <w:tcW w:w="2337" w:type="dxa"/>
          </w:tcPr>
          <w:p w14:paraId="425EA5A4" w14:textId="77777777" w:rsidR="00287EE2" w:rsidRDefault="00287EE2" w:rsidP="00287EE2">
            <w:pPr>
              <w:rPr>
                <w:sz w:val="24"/>
                <w:szCs w:val="24"/>
              </w:rPr>
            </w:pPr>
            <w:r>
              <w:rPr>
                <w:sz w:val="24"/>
                <w:szCs w:val="24"/>
              </w:rPr>
              <w:t xml:space="preserve">SAC Staff </w:t>
            </w:r>
          </w:p>
          <w:p w14:paraId="1D08A6B8" w14:textId="77777777" w:rsidR="00287EE2" w:rsidRDefault="00287EE2" w:rsidP="00287EE2">
            <w:pPr>
              <w:rPr>
                <w:sz w:val="24"/>
                <w:szCs w:val="24"/>
              </w:rPr>
            </w:pPr>
            <w:r>
              <w:rPr>
                <w:sz w:val="24"/>
                <w:szCs w:val="24"/>
              </w:rPr>
              <w:t>Members:</w:t>
            </w:r>
          </w:p>
          <w:p w14:paraId="7B72B071" w14:textId="77777777" w:rsidR="00D74314" w:rsidRDefault="00D74314" w:rsidP="00287EE2">
            <w:pPr>
              <w:rPr>
                <w:sz w:val="24"/>
                <w:szCs w:val="24"/>
              </w:rPr>
            </w:pPr>
          </w:p>
          <w:p w14:paraId="0751E530" w14:textId="77777777" w:rsidR="00D74314" w:rsidRDefault="00D74314" w:rsidP="00287EE2">
            <w:pPr>
              <w:rPr>
                <w:sz w:val="24"/>
                <w:szCs w:val="24"/>
              </w:rPr>
            </w:pPr>
            <w:r>
              <w:rPr>
                <w:sz w:val="24"/>
                <w:szCs w:val="24"/>
              </w:rPr>
              <w:t>Tim Stickings</w:t>
            </w:r>
          </w:p>
          <w:p w14:paraId="0CC879F1" w14:textId="375DED97" w:rsidR="00D74314" w:rsidRDefault="00D74314" w:rsidP="00287EE2">
            <w:pPr>
              <w:rPr>
                <w:sz w:val="24"/>
                <w:szCs w:val="24"/>
              </w:rPr>
            </w:pPr>
            <w:r>
              <w:rPr>
                <w:sz w:val="24"/>
                <w:szCs w:val="24"/>
              </w:rPr>
              <w:t>Kim Piccott</w:t>
            </w:r>
          </w:p>
        </w:tc>
        <w:tc>
          <w:tcPr>
            <w:tcW w:w="2338" w:type="dxa"/>
          </w:tcPr>
          <w:p w14:paraId="501BEA65" w14:textId="77777777" w:rsidR="00287EE2" w:rsidRDefault="00287EE2" w:rsidP="00287EE2">
            <w:pPr>
              <w:rPr>
                <w:sz w:val="24"/>
                <w:szCs w:val="24"/>
              </w:rPr>
            </w:pPr>
            <w:r>
              <w:rPr>
                <w:sz w:val="24"/>
                <w:szCs w:val="24"/>
              </w:rPr>
              <w:t>SAC Students Members:</w:t>
            </w:r>
          </w:p>
          <w:p w14:paraId="35E45C1C" w14:textId="77777777" w:rsidR="00D74314" w:rsidRDefault="00D74314" w:rsidP="00287EE2">
            <w:pPr>
              <w:rPr>
                <w:sz w:val="24"/>
                <w:szCs w:val="24"/>
              </w:rPr>
            </w:pPr>
          </w:p>
          <w:p w14:paraId="12D4E0C7" w14:textId="08CACC54" w:rsidR="00D74314" w:rsidRPr="003828E0" w:rsidRDefault="00D74314" w:rsidP="00287EE2">
            <w:pPr>
              <w:rPr>
                <w:sz w:val="24"/>
                <w:szCs w:val="24"/>
              </w:rPr>
            </w:pP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5EFC2748" w14:textId="52EAD70B" w:rsidR="003828E0" w:rsidRDefault="00DA718C" w:rsidP="003828E0">
            <w:pPr>
              <w:jc w:val="both"/>
              <w:rPr>
                <w:sz w:val="24"/>
                <w:szCs w:val="24"/>
              </w:rPr>
            </w:pPr>
            <w:r>
              <w:rPr>
                <w:sz w:val="24"/>
                <w:szCs w:val="24"/>
              </w:rPr>
              <w:t>This year, The Michael Wallace SAC focussed on supporting the Student Support plan by funding resources to support Literacy, Math and Student Well-Being.</w:t>
            </w:r>
            <w:r w:rsidR="004E421D">
              <w:rPr>
                <w:sz w:val="24"/>
                <w:szCs w:val="24"/>
              </w:rPr>
              <w:t xml:space="preserve"> Included was </w:t>
            </w:r>
            <w:proofErr w:type="gramStart"/>
            <w:r w:rsidR="004E421D">
              <w:rPr>
                <w:sz w:val="24"/>
                <w:szCs w:val="24"/>
              </w:rPr>
              <w:t>funding  a</w:t>
            </w:r>
            <w:proofErr w:type="gramEnd"/>
            <w:r w:rsidR="004E421D">
              <w:rPr>
                <w:sz w:val="24"/>
                <w:szCs w:val="24"/>
              </w:rPr>
              <w:t xml:space="preserve"> guest presenter, Keonte Beals which focussed on our well-being goal, assisting in the purchase of a LCD and Screen in the gym in partnership with support from the Home and School, as well as decodable books for our P-2 classrooms. The school has also done an inventory of Math manipulatives, and the SAC will assist in the purchase of items needed to ensure that all students have ready access to the tools they need.</w:t>
            </w:r>
          </w:p>
          <w:p w14:paraId="0A7BE148" w14:textId="77777777" w:rsidR="003828E0" w:rsidRDefault="003828E0" w:rsidP="003828E0">
            <w:pPr>
              <w:jc w:val="both"/>
              <w:rPr>
                <w:sz w:val="24"/>
                <w:szCs w:val="24"/>
              </w:rPr>
            </w:pPr>
          </w:p>
          <w:p w14:paraId="639EA0D8" w14:textId="77777777" w:rsidR="00DA718C" w:rsidRPr="00DA718C" w:rsidRDefault="00DA718C" w:rsidP="00DA718C">
            <w:pPr>
              <w:jc w:val="both"/>
              <w:rPr>
                <w:sz w:val="24"/>
                <w:szCs w:val="24"/>
              </w:rPr>
            </w:pPr>
            <w:r w:rsidRPr="00DA718C">
              <w:rPr>
                <w:sz w:val="24"/>
                <w:szCs w:val="24"/>
              </w:rPr>
              <w:t>25-26 SAC requests for participation:</w:t>
            </w:r>
          </w:p>
          <w:p w14:paraId="578D7408" w14:textId="77777777" w:rsidR="00DA718C" w:rsidRPr="00DA718C" w:rsidRDefault="00DA718C" w:rsidP="00DA718C">
            <w:pPr>
              <w:numPr>
                <w:ilvl w:val="0"/>
                <w:numId w:val="1"/>
              </w:numPr>
              <w:jc w:val="both"/>
              <w:rPr>
                <w:sz w:val="24"/>
                <w:szCs w:val="24"/>
              </w:rPr>
            </w:pPr>
            <w:r w:rsidRPr="00DA718C">
              <w:rPr>
                <w:sz w:val="24"/>
                <w:szCs w:val="24"/>
              </w:rPr>
              <w:t>Feedback survey from the Provincial SAC Conference</w:t>
            </w:r>
          </w:p>
          <w:p w14:paraId="68A93085" w14:textId="77777777" w:rsidR="00DA718C" w:rsidRPr="00DA718C" w:rsidRDefault="00DA718C" w:rsidP="00DA718C">
            <w:pPr>
              <w:numPr>
                <w:ilvl w:val="0"/>
                <w:numId w:val="1"/>
              </w:numPr>
              <w:jc w:val="both"/>
              <w:rPr>
                <w:sz w:val="24"/>
                <w:szCs w:val="24"/>
              </w:rPr>
            </w:pPr>
            <w:r w:rsidRPr="00DA718C">
              <w:rPr>
                <w:sz w:val="24"/>
                <w:szCs w:val="24"/>
              </w:rPr>
              <w:t>HRCE School Advisory Council Feedback &amp; Question Submission from our Regional Executive Director</w:t>
            </w:r>
          </w:p>
          <w:p w14:paraId="4D7E3EC1" w14:textId="77777777" w:rsidR="009477EC" w:rsidRPr="00DA718C" w:rsidRDefault="009477EC" w:rsidP="003828E0">
            <w:pPr>
              <w:jc w:val="both"/>
              <w:rPr>
                <w:sz w:val="24"/>
                <w:szCs w:val="24"/>
              </w:rPr>
            </w:pPr>
          </w:p>
          <w:p w14:paraId="7F3A4368" w14:textId="77777777" w:rsidR="009477EC" w:rsidRPr="003828E0" w:rsidRDefault="009477EC" w:rsidP="003828E0">
            <w:pPr>
              <w:jc w:val="both"/>
              <w:rPr>
                <w:sz w:val="24"/>
                <w:szCs w:val="24"/>
              </w:rPr>
            </w:pP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3AB0149A" w14:textId="77777777" w:rsidR="003828E0" w:rsidRDefault="003828E0" w:rsidP="003828E0">
            <w:pPr>
              <w:jc w:val="both"/>
              <w:rPr>
                <w:sz w:val="24"/>
                <w:szCs w:val="24"/>
              </w:rPr>
            </w:pPr>
          </w:p>
          <w:p w14:paraId="1013316A" w14:textId="77777777" w:rsidR="009477EC" w:rsidRDefault="009477EC" w:rsidP="003828E0">
            <w:pPr>
              <w:jc w:val="both"/>
              <w:rPr>
                <w:sz w:val="24"/>
                <w:szCs w:val="24"/>
              </w:rPr>
            </w:pPr>
          </w:p>
          <w:p w14:paraId="4B5B5E56" w14:textId="77777777" w:rsidR="009477EC" w:rsidRDefault="009477EC" w:rsidP="003828E0">
            <w:pPr>
              <w:jc w:val="both"/>
              <w:rPr>
                <w:sz w:val="24"/>
                <w:szCs w:val="24"/>
              </w:rPr>
            </w:pP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3828E0">
        <w:tc>
          <w:tcPr>
            <w:tcW w:w="9350" w:type="dxa"/>
          </w:tcPr>
          <w:p w14:paraId="3611E948" w14:textId="77777777" w:rsidR="003828E0" w:rsidRDefault="003828E0"/>
          <w:p w14:paraId="682F2EEB" w14:textId="5A7C54BC" w:rsidR="009477EC" w:rsidRDefault="00DA718C">
            <w:r>
              <w:t>N/A</w:t>
            </w:r>
          </w:p>
          <w:p w14:paraId="7527DD50" w14:textId="77777777" w:rsidR="009477EC" w:rsidRDefault="009477EC"/>
          <w:p w14:paraId="15622E24" w14:textId="77777777" w:rsidR="003828E0" w:rsidRDefault="003828E0"/>
        </w:tc>
      </w:tr>
    </w:tbl>
    <w:p w14:paraId="3A0B9B58" w14:textId="77777777" w:rsidR="009477EC" w:rsidRDefault="009477EC"/>
    <w:p w14:paraId="6A534387" w14:textId="77777777" w:rsidR="009477EC" w:rsidRDefault="009477EC"/>
    <w:p w14:paraId="1752739A" w14:textId="05212523" w:rsidR="003828E0" w:rsidRPr="009477EC" w:rsidRDefault="0016171C">
      <w:pPr>
        <w:rPr>
          <w:b/>
          <w:sz w:val="24"/>
          <w:szCs w:val="24"/>
          <w:u w:val="single"/>
        </w:rPr>
      </w:pPr>
      <w:r>
        <w:rPr>
          <w:b/>
          <w:sz w:val="24"/>
          <w:szCs w:val="24"/>
          <w:u w:val="single"/>
        </w:rPr>
        <w:t>State</w:t>
      </w:r>
      <w:r w:rsidR="009477EC" w:rsidRPr="009477EC">
        <w:rPr>
          <w:b/>
          <w:sz w:val="24"/>
          <w:szCs w:val="24"/>
          <w:u w:val="single"/>
        </w:rPr>
        <w:t>ments of R</w:t>
      </w:r>
      <w:r w:rsidR="003828E0" w:rsidRPr="009477EC">
        <w:rPr>
          <w:b/>
          <w:sz w:val="24"/>
          <w:szCs w:val="24"/>
          <w:u w:val="single"/>
        </w:rPr>
        <w:t>evenues and Expenditures</w:t>
      </w:r>
      <w:r w:rsidR="009477EC" w:rsidRPr="009477EC">
        <w:rPr>
          <w:b/>
          <w:sz w:val="24"/>
          <w:szCs w:val="24"/>
          <w:u w:val="single"/>
        </w:rPr>
        <w:t>:</w:t>
      </w:r>
    </w:p>
    <w:p w14:paraId="5129A174" w14:textId="4EB7F8BB" w:rsidR="009477EC" w:rsidRDefault="0016171C">
      <w:pPr>
        <w:rPr>
          <w:sz w:val="24"/>
          <w:szCs w:val="24"/>
        </w:rPr>
      </w:pPr>
      <w:r>
        <w:rPr>
          <w:sz w:val="24"/>
          <w:szCs w:val="24"/>
        </w:rPr>
        <w:t>Starting Balance: $6,696.14</w:t>
      </w:r>
    </w:p>
    <w:p w14:paraId="18004787" w14:textId="707EE8A6" w:rsidR="0016171C" w:rsidRPr="0016171C" w:rsidRDefault="0016171C">
      <w:pPr>
        <w:rPr>
          <w:sz w:val="24"/>
          <w:szCs w:val="24"/>
        </w:rPr>
      </w:pPr>
      <w:r>
        <w:rPr>
          <w:sz w:val="24"/>
          <w:szCs w:val="24"/>
        </w:rPr>
        <w:t>Closing Balance: $</w:t>
      </w:r>
      <w:r w:rsidR="006176B4">
        <w:rPr>
          <w:sz w:val="24"/>
          <w:szCs w:val="24"/>
        </w:rPr>
        <w:t>4.16</w:t>
      </w: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14:paraId="144A813A" w14:textId="77777777" w:rsidTr="009477EC">
        <w:tc>
          <w:tcPr>
            <w:tcW w:w="9350" w:type="dxa"/>
          </w:tcPr>
          <w:p w14:paraId="1BFCF737" w14:textId="3C4FA6A2" w:rsidR="009477EC" w:rsidRDefault="0016171C" w:rsidP="009477EC">
            <w:pPr>
              <w:jc w:val="both"/>
              <w:rPr>
                <w:sz w:val="24"/>
                <w:szCs w:val="24"/>
              </w:rPr>
            </w:pPr>
            <w:r>
              <w:rPr>
                <w:sz w:val="24"/>
                <w:szCs w:val="24"/>
              </w:rPr>
              <w:t>Literacy:</w:t>
            </w:r>
          </w:p>
          <w:p w14:paraId="644A06DC" w14:textId="50E7265F" w:rsidR="006176B4" w:rsidRPr="006176B4" w:rsidRDefault="0016171C" w:rsidP="006176B4">
            <w:pPr>
              <w:pStyle w:val="ListParagraph"/>
              <w:numPr>
                <w:ilvl w:val="0"/>
                <w:numId w:val="2"/>
              </w:numPr>
              <w:jc w:val="both"/>
              <w:rPr>
                <w:sz w:val="24"/>
                <w:szCs w:val="24"/>
              </w:rPr>
            </w:pPr>
            <w:r>
              <w:rPr>
                <w:sz w:val="24"/>
                <w:szCs w:val="24"/>
              </w:rPr>
              <w:t>Decodable Books $</w:t>
            </w:r>
            <w:r w:rsidR="006176B4">
              <w:rPr>
                <w:sz w:val="24"/>
                <w:szCs w:val="24"/>
              </w:rPr>
              <w:t xml:space="preserve"> 1250.00</w:t>
            </w:r>
          </w:p>
          <w:p w14:paraId="1B4476CA" w14:textId="77777777" w:rsidR="0016171C" w:rsidRDefault="0016171C" w:rsidP="0016171C">
            <w:pPr>
              <w:jc w:val="both"/>
              <w:rPr>
                <w:sz w:val="24"/>
                <w:szCs w:val="24"/>
              </w:rPr>
            </w:pPr>
          </w:p>
          <w:p w14:paraId="57A86390" w14:textId="27FB0374" w:rsidR="0016171C" w:rsidRDefault="0016171C" w:rsidP="0016171C">
            <w:pPr>
              <w:jc w:val="both"/>
              <w:rPr>
                <w:sz w:val="24"/>
                <w:szCs w:val="24"/>
              </w:rPr>
            </w:pPr>
            <w:r>
              <w:rPr>
                <w:sz w:val="24"/>
                <w:szCs w:val="24"/>
              </w:rPr>
              <w:t>Math:</w:t>
            </w:r>
          </w:p>
          <w:p w14:paraId="601D4851" w14:textId="53F94441" w:rsidR="0016171C" w:rsidRDefault="0016171C" w:rsidP="0016171C">
            <w:pPr>
              <w:pStyle w:val="ListParagraph"/>
              <w:numPr>
                <w:ilvl w:val="0"/>
                <w:numId w:val="2"/>
              </w:numPr>
              <w:jc w:val="both"/>
              <w:rPr>
                <w:sz w:val="24"/>
                <w:szCs w:val="24"/>
              </w:rPr>
            </w:pPr>
            <w:r>
              <w:rPr>
                <w:sz w:val="24"/>
                <w:szCs w:val="24"/>
              </w:rPr>
              <w:t>Manipulatives $</w:t>
            </w:r>
            <w:r w:rsidR="006176B4">
              <w:rPr>
                <w:sz w:val="24"/>
                <w:szCs w:val="24"/>
              </w:rPr>
              <w:t>1250.00</w:t>
            </w:r>
          </w:p>
          <w:p w14:paraId="541E1B11" w14:textId="77777777" w:rsidR="0016171C" w:rsidRDefault="0016171C" w:rsidP="0016171C">
            <w:pPr>
              <w:jc w:val="both"/>
              <w:rPr>
                <w:sz w:val="24"/>
                <w:szCs w:val="24"/>
              </w:rPr>
            </w:pPr>
          </w:p>
          <w:p w14:paraId="59C7BA5B" w14:textId="03F84FA6" w:rsidR="0016171C" w:rsidRDefault="0016171C" w:rsidP="0016171C">
            <w:pPr>
              <w:jc w:val="both"/>
              <w:rPr>
                <w:sz w:val="24"/>
                <w:szCs w:val="24"/>
              </w:rPr>
            </w:pPr>
            <w:r>
              <w:rPr>
                <w:sz w:val="24"/>
                <w:szCs w:val="24"/>
              </w:rPr>
              <w:t>Well-Being:</w:t>
            </w:r>
          </w:p>
          <w:p w14:paraId="6E67A741" w14:textId="7167E016" w:rsidR="0016171C" w:rsidRDefault="0016171C" w:rsidP="0016171C">
            <w:pPr>
              <w:pStyle w:val="ListParagraph"/>
              <w:numPr>
                <w:ilvl w:val="0"/>
                <w:numId w:val="2"/>
              </w:numPr>
              <w:jc w:val="both"/>
              <w:rPr>
                <w:sz w:val="24"/>
                <w:szCs w:val="24"/>
              </w:rPr>
            </w:pPr>
            <w:r>
              <w:rPr>
                <w:sz w:val="24"/>
                <w:szCs w:val="24"/>
              </w:rPr>
              <w:t>Screen in Gym</w:t>
            </w:r>
            <w:r w:rsidR="00DD44C0">
              <w:rPr>
                <w:sz w:val="24"/>
                <w:szCs w:val="24"/>
              </w:rPr>
              <w:t>:</w:t>
            </w:r>
            <w:r>
              <w:rPr>
                <w:sz w:val="24"/>
                <w:szCs w:val="24"/>
              </w:rPr>
              <w:t xml:space="preserve"> $3000.00</w:t>
            </w:r>
          </w:p>
          <w:p w14:paraId="15EC38EB" w14:textId="01E2B5DF" w:rsidR="0016171C" w:rsidRPr="0016171C" w:rsidRDefault="00DD44C0" w:rsidP="0016171C">
            <w:pPr>
              <w:pStyle w:val="ListParagraph"/>
              <w:numPr>
                <w:ilvl w:val="0"/>
                <w:numId w:val="2"/>
              </w:numPr>
              <w:jc w:val="both"/>
              <w:rPr>
                <w:sz w:val="24"/>
                <w:szCs w:val="24"/>
              </w:rPr>
            </w:pPr>
            <w:r>
              <w:rPr>
                <w:sz w:val="24"/>
                <w:szCs w:val="24"/>
              </w:rPr>
              <w:t>Keonte Beals: $1,191.98</w:t>
            </w:r>
          </w:p>
          <w:p w14:paraId="52A4B898" w14:textId="77777777" w:rsidR="009477EC" w:rsidRDefault="009477EC" w:rsidP="009477EC">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61FCD4B2" w:rsidR="003828E0" w:rsidRDefault="00DA718C" w:rsidP="009477EC">
            <w:pPr>
              <w:jc w:val="both"/>
              <w:rPr>
                <w:sz w:val="24"/>
                <w:szCs w:val="24"/>
              </w:rPr>
            </w:pPr>
            <w:r>
              <w:rPr>
                <w:sz w:val="24"/>
                <w:szCs w:val="24"/>
              </w:rPr>
              <w:t>No Funds Used</w:t>
            </w:r>
          </w:p>
          <w:p w14:paraId="41F188B2" w14:textId="77777777" w:rsidR="009477EC" w:rsidRDefault="009477EC" w:rsidP="009477EC">
            <w:pPr>
              <w:jc w:val="both"/>
              <w:rPr>
                <w:sz w:val="24"/>
                <w:szCs w:val="24"/>
              </w:rPr>
            </w:pP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lastRenderedPageBreak/>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2ADD14A9" w14:textId="16527128" w:rsidR="003828E0" w:rsidRDefault="00DA718C">
            <w:pPr>
              <w:rPr>
                <w:sz w:val="24"/>
                <w:szCs w:val="24"/>
              </w:rPr>
            </w:pPr>
            <w:r>
              <w:rPr>
                <w:sz w:val="24"/>
                <w:szCs w:val="24"/>
              </w:rPr>
              <w:t>No Funds Used</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DCC53" w14:textId="77777777" w:rsidR="00273839" w:rsidRDefault="00273839" w:rsidP="009477EC">
      <w:pPr>
        <w:spacing w:after="0" w:line="240" w:lineRule="auto"/>
      </w:pPr>
      <w:r>
        <w:separator/>
      </w:r>
    </w:p>
  </w:endnote>
  <w:endnote w:type="continuationSeparator" w:id="0">
    <w:p w14:paraId="4175F03B" w14:textId="77777777" w:rsidR="00273839" w:rsidRDefault="00273839"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014B" w14:textId="77777777" w:rsidR="00273839" w:rsidRDefault="00273839" w:rsidP="009477EC">
      <w:pPr>
        <w:spacing w:after="0" w:line="240" w:lineRule="auto"/>
      </w:pPr>
      <w:r>
        <w:separator/>
      </w:r>
    </w:p>
  </w:footnote>
  <w:footnote w:type="continuationSeparator" w:id="0">
    <w:p w14:paraId="403C42A4" w14:textId="77777777" w:rsidR="00273839" w:rsidRDefault="00273839" w:rsidP="00947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A03"/>
    <w:multiLevelType w:val="hybridMultilevel"/>
    <w:tmpl w:val="3CBC77B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3F3F1023"/>
    <w:multiLevelType w:val="hybridMultilevel"/>
    <w:tmpl w:val="54B05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1452185">
    <w:abstractNumId w:val="0"/>
  </w:num>
  <w:num w:numId="2" w16cid:durableId="382022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134611"/>
    <w:rsid w:val="0016171C"/>
    <w:rsid w:val="001E698E"/>
    <w:rsid w:val="0024043B"/>
    <w:rsid w:val="00256304"/>
    <w:rsid w:val="00273839"/>
    <w:rsid w:val="00287EE2"/>
    <w:rsid w:val="0030505B"/>
    <w:rsid w:val="003828E0"/>
    <w:rsid w:val="004E421D"/>
    <w:rsid w:val="005750AE"/>
    <w:rsid w:val="006176B4"/>
    <w:rsid w:val="0062379C"/>
    <w:rsid w:val="00701F95"/>
    <w:rsid w:val="008151D9"/>
    <w:rsid w:val="00933F6B"/>
    <w:rsid w:val="009477EC"/>
    <w:rsid w:val="00955B85"/>
    <w:rsid w:val="0097048C"/>
    <w:rsid w:val="009B7F25"/>
    <w:rsid w:val="00A47558"/>
    <w:rsid w:val="00A60B67"/>
    <w:rsid w:val="00B816C6"/>
    <w:rsid w:val="00BF76FC"/>
    <w:rsid w:val="00C02441"/>
    <w:rsid w:val="00C374BC"/>
    <w:rsid w:val="00CC0FA3"/>
    <w:rsid w:val="00D74314"/>
    <w:rsid w:val="00D91716"/>
    <w:rsid w:val="00DA718C"/>
    <w:rsid w:val="00DC32E6"/>
    <w:rsid w:val="00DD44C0"/>
    <w:rsid w:val="00E22A3B"/>
    <w:rsid w:val="00E67127"/>
    <w:rsid w:val="00EA10CB"/>
    <w:rsid w:val="00EE7477"/>
    <w:rsid w:val="00F05BD1"/>
    <w:rsid w:val="00F93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 w:type="paragraph" w:styleId="ListParagraph">
    <w:name w:val="List Paragraph"/>
    <w:basedOn w:val="Normal"/>
    <w:uiPriority w:val="34"/>
    <w:qFormat/>
    <w:rsid w:val="00161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hrce.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Lockhart, Stephanie</cp:lastModifiedBy>
  <cp:revision>2</cp:revision>
  <cp:lastPrinted>2019-05-31T17:21:00Z</cp:lastPrinted>
  <dcterms:created xsi:type="dcterms:W3CDTF">2026-06-15T16:59:00Z</dcterms:created>
  <dcterms:modified xsi:type="dcterms:W3CDTF">2026-06-15T16:59:00Z</dcterms:modified>
</cp:coreProperties>
</file>